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DD" w:rsidRDefault="00DC460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419225" cy="1301533"/>
            <wp:effectExtent l="0" t="0" r="0" b="0"/>
            <wp:docPr id="5" name="image1.png" descr="C:\Users\recrutement\Desktop\chosen LOG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ecrutement\Desktop\chosen LOGO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1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41DD" w:rsidRDefault="00DC460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ASSISTANT EN SUIVI ET ÉVALUATION</w:t>
      </w:r>
    </w:p>
    <w:p w:rsidR="006F41DD" w:rsidRDefault="006F41DD">
      <w:pPr>
        <w:spacing w:after="0" w:line="240" w:lineRule="auto"/>
        <w:jc w:val="center"/>
        <w:rPr>
          <w:b/>
          <w:sz w:val="32"/>
          <w:szCs w:val="32"/>
        </w:rPr>
      </w:pPr>
    </w:p>
    <w:p w:rsidR="006F41DD" w:rsidRDefault="00DC46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SESOMO SERVICES </w:t>
      </w:r>
      <w:r>
        <w:rPr>
          <w:sz w:val="24"/>
          <w:szCs w:val="24"/>
        </w:rPr>
        <w:t>recrute pour l’un de ses clients, un Assistant en Suivi-Évaluation.</w:t>
      </w:r>
    </w:p>
    <w:p w:rsidR="006F41DD" w:rsidRDefault="006F41DD">
      <w:pPr>
        <w:spacing w:after="0" w:line="240" w:lineRule="auto"/>
        <w:jc w:val="both"/>
        <w:rPr>
          <w:sz w:val="24"/>
          <w:szCs w:val="24"/>
        </w:rPr>
      </w:pPr>
    </w:p>
    <w:p w:rsidR="006F41DD" w:rsidRDefault="00DC46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Localisation </w:t>
      </w:r>
      <w:r>
        <w:rPr>
          <w:sz w:val="24"/>
          <w:szCs w:val="24"/>
        </w:rPr>
        <w:t>: KINSHASA</w:t>
      </w:r>
    </w:p>
    <w:p w:rsidR="006F41DD" w:rsidRDefault="00DC46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Nature du contra</w:t>
      </w:r>
      <w:r>
        <w:rPr>
          <w:sz w:val="24"/>
          <w:szCs w:val="24"/>
        </w:rPr>
        <w:t>t : CDD, 1 an éventuellement renouvelable.</w:t>
      </w:r>
    </w:p>
    <w:p w:rsidR="006F41DD" w:rsidRDefault="006F41DD">
      <w:pPr>
        <w:spacing w:after="0" w:line="240" w:lineRule="auto"/>
        <w:jc w:val="both"/>
        <w:rPr>
          <w:b/>
          <w:sz w:val="24"/>
          <w:szCs w:val="24"/>
        </w:rPr>
      </w:pPr>
    </w:p>
    <w:p w:rsidR="006F41DD" w:rsidRDefault="006F41DD">
      <w:pPr>
        <w:spacing w:after="0" w:line="240" w:lineRule="auto"/>
        <w:jc w:val="both"/>
        <w:rPr>
          <w:b/>
          <w:sz w:val="24"/>
          <w:szCs w:val="24"/>
        </w:rPr>
      </w:pPr>
    </w:p>
    <w:p w:rsidR="006F41DD" w:rsidRDefault="00DC46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 et Rôle</w:t>
      </w:r>
    </w:p>
    <w:p w:rsidR="006F41DD" w:rsidRDefault="00DC4603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Sous l’autorité l’Assistant Technique en Planification et Suivi-Évaluation, l’Assistant en Suivi-Évaluation va appuyer l’Unité de Gestion dans la mise en œuvre des activités de Suivi et Évaluation. Il travaille en étroite collaboration avec le personnel de</w:t>
      </w:r>
      <w:r>
        <w:rPr>
          <w:sz w:val="24"/>
          <w:szCs w:val="24"/>
        </w:rPr>
        <w:t xml:space="preserve"> l’équipe de gestion du Secrétariat technique (ST) afin d’appuyer la bonne exécution de la subvention Covid-19.</w:t>
      </w:r>
    </w:p>
    <w:p w:rsidR="006F41DD" w:rsidRDefault="00DC46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Devoirs et responsabilités</w:t>
      </w:r>
    </w:p>
    <w:p w:rsidR="006F41DD" w:rsidRDefault="006F4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Seconder l’Assistant Technique en Planification et Suivi-Évaluation dans la définition du dispositif de suivi-évaluation des projets et plans du Secrétariat Technique (ST)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Participer à l’élaborer au manuel de suivi-évaluation, veiller à sa mise à jour pé</w:t>
      </w:r>
      <w:r>
        <w:rPr>
          <w:sz w:val="24"/>
          <w:szCs w:val="24"/>
        </w:rPr>
        <w:t>riodique et à son utilisation pour l’élaboration des plans de suivi-évaluation annuels y compris les cadres de résultats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Élaborer les outils de suivi-évaluation y compris les formats de rapport périodique et de documentation (archivage) de mise en œuvre </w:t>
      </w:r>
      <w:r>
        <w:rPr>
          <w:sz w:val="24"/>
          <w:szCs w:val="24"/>
        </w:rPr>
        <w:t>des activités et veiller à leurs diffusions tant en interne et qu’en externe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Assurer la gestion des courriers entrant et sortant ainsi que de toutes les tâches afférentes à la circulation des informations et des documents de services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Assurer la gestio</w:t>
      </w:r>
      <w:r>
        <w:rPr>
          <w:sz w:val="24"/>
          <w:szCs w:val="24"/>
        </w:rPr>
        <w:t>n et de la validité des documents avant leur diffusion ainsi que leur suivi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Assurer le rangement et la bonne classification des informations et autres documents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Assister l’équipe de Suivi et Évaluation dans l’exécution des autres tâches selon qu’elles </w:t>
      </w:r>
      <w:r>
        <w:rPr>
          <w:sz w:val="24"/>
          <w:szCs w:val="24"/>
        </w:rPr>
        <w:t>se présentent.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Participer à la conception de la gestion du système informatisé de collecte, contrôle, traitement, analyse, production et sauvegarde des données permettant d’apprécier les indicateurs de performance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Élaboration des tableaux de bord, des ra</w:t>
      </w:r>
      <w:r>
        <w:rPr>
          <w:sz w:val="24"/>
          <w:szCs w:val="24"/>
        </w:rPr>
        <w:t>pports consolidés et les rapports des projets (y compris les indicateurs de performance) conformément aux dispositions du manuel de suivi-évaluation et veiller à leur diffusion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Participer aux réunions, visites, missions de suivi et supervision dans les p</w:t>
      </w:r>
      <w:r>
        <w:rPr>
          <w:sz w:val="24"/>
          <w:szCs w:val="24"/>
        </w:rPr>
        <w:t>rovinces et veiller à la diffusion des constats effectués et au suivi des recommandations formulées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Organiser en collaboration avec l’AT en suivi-Évaluation les cadres de réflexion critique interne et externe en vue d’identifier ou d’informer sur les poi</w:t>
      </w:r>
      <w:r>
        <w:rPr>
          <w:sz w:val="24"/>
          <w:szCs w:val="24"/>
        </w:rPr>
        <w:t>nts de blocage afférents à l’avancement des projets et faire le suivi de la mise en œuvre des mesures correctrices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Contribuer à la révision du cadre pluriannuel et les plans d’action au regard des stratégies de chacun des pôles, accompagner à la priorisa</w:t>
      </w:r>
      <w:r>
        <w:rPr>
          <w:sz w:val="24"/>
          <w:szCs w:val="24"/>
        </w:rPr>
        <w:t>tion des actions réalisables sur l’année et identifier les cibles à atteindre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Établir des normes et objectifs de performance, et assumer les responsabilités y afférentes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Rechercher et mettre en application des connaissances, informations et bonnes prat</w:t>
      </w:r>
      <w:r>
        <w:rPr>
          <w:sz w:val="24"/>
          <w:szCs w:val="24"/>
        </w:rPr>
        <w:t>iques de l’intérieur comme de l’extérieur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Appuyer au développement et l’utilisation des outils de collecte de données, les analyses des données, le rapportage technique du projet en collaboration avec les partenaires, la gestion et la mise à jour des dif</w:t>
      </w:r>
      <w:r>
        <w:rPr>
          <w:sz w:val="24"/>
          <w:szCs w:val="24"/>
        </w:rPr>
        <w:t>férentes bases de données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Appuyer la mise en place de réunions de concertations trimestrielles des principaux récipiendaires, programmes nationaux : participe aux réunions préparatoires, rédige le programme, le fait valider par le responsable Suivi et Év</w:t>
      </w:r>
      <w:r>
        <w:rPr>
          <w:sz w:val="24"/>
          <w:szCs w:val="24"/>
        </w:rPr>
        <w:t>aluation, contacter les partenaires et est en charge du suivi de la préparation logistique avec les opérations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Participer aux réunions techniques au niveau national si nécessaire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Participer à la coordination concertée des activités de suivi et évaluati</w:t>
      </w:r>
      <w:r>
        <w:rPr>
          <w:sz w:val="24"/>
          <w:szCs w:val="24"/>
        </w:rPr>
        <w:t>on ;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Faciliter les investigations terrain pour l’établissement de la situation de référence.</w:t>
      </w:r>
    </w:p>
    <w:p w:rsidR="006F41DD" w:rsidRDefault="006F4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</w:p>
    <w:p w:rsidR="006F41DD" w:rsidRDefault="006F4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</w:p>
    <w:p w:rsidR="006F41DD" w:rsidRDefault="006F41DD">
      <w:pPr>
        <w:spacing w:after="0" w:line="240" w:lineRule="auto"/>
        <w:jc w:val="both"/>
        <w:rPr>
          <w:b/>
          <w:sz w:val="24"/>
          <w:szCs w:val="24"/>
        </w:rPr>
      </w:pPr>
    </w:p>
    <w:p w:rsidR="006F41DD" w:rsidRDefault="00DC46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Qualifications</w:t>
      </w:r>
    </w:p>
    <w:p w:rsidR="006F41DD" w:rsidRDefault="006F4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08"/>
        <w:jc w:val="both"/>
        <w:rPr>
          <w:sz w:val="24"/>
          <w:szCs w:val="24"/>
        </w:rPr>
      </w:pP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Licence en système d'information, sciences sociales ou équivalent </w:t>
      </w:r>
    </w:p>
    <w:p w:rsidR="006F41DD" w:rsidRDefault="00DC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Maîtrise en S&amp;</w:t>
      </w:r>
      <w:r>
        <w:rPr>
          <w:sz w:val="24"/>
          <w:szCs w:val="24"/>
        </w:rPr>
        <w:t>E, informatique, statistiques, épidémiologie ou dans un domaine lié à la santé publique, constitue un atout supplémentaire.</w:t>
      </w:r>
    </w:p>
    <w:p w:rsidR="006F41DD" w:rsidRDefault="00DC46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Langues</w:t>
      </w:r>
    </w:p>
    <w:p w:rsidR="006F41DD" w:rsidRDefault="006F41DD">
      <w:pPr>
        <w:spacing w:after="0" w:line="240" w:lineRule="auto"/>
        <w:jc w:val="both"/>
        <w:rPr>
          <w:b/>
          <w:sz w:val="24"/>
          <w:szCs w:val="24"/>
        </w:rPr>
      </w:pPr>
    </w:p>
    <w:p w:rsidR="006F41DD" w:rsidRDefault="00DC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Français : Écrire et parler (niveau excellent) </w:t>
      </w:r>
    </w:p>
    <w:p w:rsidR="006F41DD" w:rsidRDefault="006F41D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F41DD" w:rsidRDefault="00DC46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Compétence et Expérience requises</w:t>
      </w:r>
    </w:p>
    <w:p w:rsidR="006F41DD" w:rsidRDefault="006F4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6F41DD" w:rsidRDefault="00DC46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sz w:val="24"/>
          <w:szCs w:val="24"/>
        </w:rPr>
        <w:t xml:space="preserve">Au moins </w:t>
      </w:r>
      <w:r>
        <w:rPr>
          <w:sz w:val="24"/>
          <w:szCs w:val="24"/>
        </w:rPr>
        <w:t>5 ans d'expérience professionnelle dans le suivi et l'évaluation de projets de santé publique</w:t>
      </w:r>
    </w:p>
    <w:p w:rsidR="006F41DD" w:rsidRDefault="00DC46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sz w:val="24"/>
          <w:szCs w:val="24"/>
        </w:rPr>
        <w:t>Vaste expérience dans la collecte, la gestion, l'analyse et la communication de données d'information sur la santé</w:t>
      </w:r>
    </w:p>
    <w:p w:rsidR="006F41DD" w:rsidRDefault="00DC46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sz w:val="24"/>
          <w:szCs w:val="24"/>
        </w:rPr>
        <w:lastRenderedPageBreak/>
        <w:t>Connaissance de DHIS-2, y compris le développem</w:t>
      </w:r>
      <w:r>
        <w:rPr>
          <w:sz w:val="24"/>
          <w:szCs w:val="24"/>
        </w:rPr>
        <w:t>ent de tableaux de bord, la gestion d'ensembles de données, la création de diaporamas et d'images visuelles pour les données rapportées</w:t>
      </w:r>
    </w:p>
    <w:p w:rsidR="006F41DD" w:rsidRDefault="00DC46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sz w:val="24"/>
          <w:szCs w:val="24"/>
        </w:rPr>
        <w:t>Compétences informatiques avérées dans la suite Microsoft Office (Excel, Word, PowerPoint), les logiciels d'analyse (Sta</w:t>
      </w:r>
      <w:r>
        <w:rPr>
          <w:sz w:val="24"/>
          <w:szCs w:val="24"/>
        </w:rPr>
        <w:t>ta, Python, SQL) seraient un atout supplémentaire</w:t>
      </w:r>
    </w:p>
    <w:p w:rsidR="006F41DD" w:rsidRDefault="00DC4603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Excellente compréhension et gestion des subventions du fonds mondial</w:t>
      </w:r>
    </w:p>
    <w:p w:rsidR="006F41DD" w:rsidRDefault="00DC46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sz w:val="24"/>
          <w:szCs w:val="24"/>
        </w:rPr>
        <w:t>Excellentes compétences en communication - à la fois verbale, écrite et de présentation.</w:t>
      </w:r>
    </w:p>
    <w:p w:rsidR="006F41DD" w:rsidRDefault="00DC46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sz w:val="24"/>
          <w:szCs w:val="24"/>
        </w:rPr>
        <w:t>B</w:t>
      </w:r>
      <w:r>
        <w:rPr>
          <w:sz w:val="24"/>
          <w:szCs w:val="24"/>
        </w:rPr>
        <w:t>onne maîtrise des règles et procédures du Fonds mondial en matière de suivi-évaluation.</w:t>
      </w:r>
    </w:p>
    <w:p w:rsidR="006F41DD" w:rsidRDefault="006F4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6F41DD" w:rsidRDefault="00DC4603">
      <w:pPr>
        <w:spacing w:before="240" w:after="24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NB</w:t>
      </w:r>
      <w:r>
        <w:rPr>
          <w:b/>
          <w:sz w:val="24"/>
          <w:szCs w:val="24"/>
        </w:rPr>
        <w:t> </w:t>
      </w:r>
    </w:p>
    <w:p w:rsidR="006F41DD" w:rsidRDefault="00DC460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Envoyez votre candidature à : </w:t>
      </w:r>
      <w:hyperlink r:id="rId7">
        <w:r>
          <w:rPr>
            <w:color w:val="1155CC"/>
            <w:sz w:val="24"/>
            <w:szCs w:val="24"/>
            <w:u w:val="single"/>
          </w:rPr>
          <w:t>https://zurl.co/PpFw</w:t>
        </w:r>
      </w:hyperlink>
    </w:p>
    <w:p w:rsidR="006F41DD" w:rsidRDefault="00DC460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Date limite : Le 16 Février 2022.</w:t>
      </w:r>
    </w:p>
    <w:p w:rsidR="006F41DD" w:rsidRDefault="006F41DD">
      <w:pPr>
        <w:ind w:left="360"/>
        <w:jc w:val="both"/>
        <w:rPr>
          <w:sz w:val="24"/>
          <w:szCs w:val="24"/>
        </w:rPr>
      </w:pPr>
    </w:p>
    <w:p w:rsidR="006F41DD" w:rsidRDefault="00DC4603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Le dossier de candidature doit conten</w:t>
      </w:r>
      <w:r>
        <w:rPr>
          <w:sz w:val="24"/>
          <w:szCs w:val="24"/>
        </w:rPr>
        <w:t>ir :</w:t>
      </w:r>
    </w:p>
    <w:p w:rsidR="006F41DD" w:rsidRDefault="00DC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lettre de motivation </w:t>
      </w:r>
    </w:p>
    <w:p w:rsidR="006F41DD" w:rsidRDefault="00DC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CV actualisé</w:t>
      </w:r>
    </w:p>
    <w:p w:rsidR="006F41DD" w:rsidRDefault="006F41DD">
      <w:pPr>
        <w:ind w:left="360"/>
        <w:jc w:val="both"/>
        <w:rPr>
          <w:sz w:val="24"/>
          <w:szCs w:val="24"/>
        </w:rPr>
      </w:pPr>
    </w:p>
    <w:p w:rsidR="006F41DD" w:rsidRDefault="006F41DD">
      <w:pPr>
        <w:ind w:left="360"/>
        <w:jc w:val="both"/>
        <w:rPr>
          <w:sz w:val="24"/>
          <w:szCs w:val="24"/>
        </w:rPr>
      </w:pPr>
    </w:p>
    <w:sectPr w:rsidR="006F41D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F033E"/>
    <w:multiLevelType w:val="multilevel"/>
    <w:tmpl w:val="1F60FB8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B150F7"/>
    <w:multiLevelType w:val="multilevel"/>
    <w:tmpl w:val="C5E2F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0648C5"/>
    <w:multiLevelType w:val="multilevel"/>
    <w:tmpl w:val="DDE2E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7643606"/>
    <w:multiLevelType w:val="multilevel"/>
    <w:tmpl w:val="A4E43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Glacial Indifference" w:eastAsia="Glacial Indifference" w:hAnsi="Glacial Indifference" w:cs="Glacial Indifference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DD"/>
    <w:rsid w:val="006F41DD"/>
    <w:rsid w:val="00D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5844F-07A2-4541-96A4-79E969AA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lacial Indifference" w:eastAsia="Glacial Indifference" w:hAnsi="Glacial Indifference" w:cs="Glacial Indifference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C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aliases w:val="Citation List,Normal bullet 2,Paragraph,Grey Bullet List,Grey Bullet Style,List Item,Table bullet,Bullet Points,Liste Paragraf,Resume Title,Riana Table Bullets 1,Lettre d'introduction,1st level - Bullet List Paragraph"/>
    <w:basedOn w:val="Normal"/>
    <w:link w:val="ParagraphedelisteCar"/>
    <w:uiPriority w:val="34"/>
    <w:qFormat/>
    <w:rsid w:val="00824F2E"/>
    <w:pPr>
      <w:ind w:left="720"/>
      <w:contextualSpacing/>
    </w:pPr>
  </w:style>
  <w:style w:type="character" w:customStyle="1" w:styleId="ParagraphedelisteCar">
    <w:name w:val="Paragraphe de liste Car"/>
    <w:aliases w:val="Citation List Car,Normal bullet 2 Car,Paragraph Car,Grey Bullet List Car,Grey Bullet Style Car,List Item Car,Table bullet Car,Bullet Points Car,Liste Paragraf Car,Resume Title Car,Riana Table Bullets 1 Car"/>
    <w:link w:val="Paragraphedeliste"/>
    <w:uiPriority w:val="34"/>
    <w:locked/>
    <w:rsid w:val="005B5CE3"/>
  </w:style>
  <w:style w:type="character" w:styleId="Lienhypertexte">
    <w:name w:val="Hyperlink"/>
    <w:basedOn w:val="Policepardfaut"/>
    <w:uiPriority w:val="99"/>
    <w:unhideWhenUsed/>
    <w:rsid w:val="005B5CE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url.co/Pp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QbxqarzmDI1hi6eXl7FKW7S1g==">AMUW2mWfSLwGHCGPo01+sxQN7aJLz3Kyf1RxdMimlwS+FV83DO/pcq47xi9JzfoQ1WPv75zLIbJmVGVZgnedf/w+YmA1KgV6i0mnH5/nQZabRFk7II00V6k=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recrutement</dc:creator>
  <cp:lastModifiedBy>diradmin</cp:lastModifiedBy>
  <cp:revision>2</cp:revision>
  <dcterms:created xsi:type="dcterms:W3CDTF">2022-02-08T16:01:00Z</dcterms:created>
  <dcterms:modified xsi:type="dcterms:W3CDTF">2022-02-08T16:01:00Z</dcterms:modified>
</cp:coreProperties>
</file>